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delsumario"/>
            <w:suppressLineNumbers/>
            <w:ind w:left="0" w:hanging="0"/>
            <w:rPr>
              <w:b/>
              <w:b/>
              <w:bCs/>
              <w:sz w:val="32"/>
              <w:szCs w:val="32"/>
            </w:rPr>
          </w:pPr>
          <w:r>
            <w:rPr>
              <w:b/>
              <w:bCs/>
              <w:sz w:val="32"/>
              <w:szCs w:val="32"/>
            </w:rPr>
            <w:t>Índice</w:t>
          </w:r>
        </w:p>
        <w:p>
          <w:pPr>
            <w:pStyle w:val="Sumario1"/>
            <w:tabs>
              <w:tab w:val="clear" w:pos="9638"/>
              <w:tab w:val="right" w:pos="9809" w:leader="dot"/>
            </w:tabs>
            <w:rPr/>
          </w:pPr>
          <w:r>
            <w:fldChar w:fldCharType="begin"/>
          </w:r>
          <w:r>
            <w:rPr>
              <w:rStyle w:val="Enlacedelndice"/>
            </w:rPr>
            <w:instrText> TOC \o "1-9" \h</w:instrText>
          </w:r>
          <w:r>
            <w:rPr>
              <w:rStyle w:val="Enlacedelndice"/>
            </w:rPr>
            <w:fldChar w:fldCharType="separate"/>
          </w:r>
          <w:hyperlink w:anchor="__RefHeading___Toc1350_767039417">
            <w:r>
              <w:rPr>
                <w:rStyle w:val="Enlacedelndice"/>
              </w:rPr>
              <w:t>1. Cultura Audiovisual I</w:t>
              <w:tab/>
              <w:t>1</w:t>
            </w:r>
          </w:hyperlink>
        </w:p>
        <w:p>
          <w:pPr>
            <w:pStyle w:val="Sumario2"/>
            <w:tabs>
              <w:tab w:val="clear" w:pos="9526"/>
              <w:tab w:val="right" w:pos="9809" w:leader="dot"/>
            </w:tabs>
            <w:rPr/>
          </w:pPr>
          <w:hyperlink w:anchor="__RefHeading___Toc1352_767039417">
            <w:r>
              <w:rPr>
                <w:rStyle w:val="Enlacedelndice"/>
              </w:rPr>
              <w:t>1.1. Objetivos de la materia de Cultura Audiovisual I</w:t>
              <w:tab/>
              <w:t>1</w:t>
            </w:r>
          </w:hyperlink>
        </w:p>
        <w:p>
          <w:pPr>
            <w:pStyle w:val="Sumario2"/>
            <w:tabs>
              <w:tab w:val="clear" w:pos="9526"/>
              <w:tab w:val="right" w:pos="9809" w:leader="dot"/>
            </w:tabs>
            <w:rPr/>
          </w:pPr>
          <w:hyperlink w:anchor="__RefHeading___Toc1777_767039417">
            <w:r>
              <w:rPr>
                <w:rStyle w:val="Enlacedelndice"/>
              </w:rPr>
              <w:t>1.2. Contenidos y secuenciación de la materia de Cultura Audiovisual I. Contenidos mínimos.</w:t>
              <w:tab/>
              <w:t>2</w:t>
            </w:r>
          </w:hyperlink>
        </w:p>
        <w:p>
          <w:pPr>
            <w:pStyle w:val="Sumario2"/>
            <w:tabs>
              <w:tab w:val="clear" w:pos="9526"/>
              <w:tab w:val="right" w:pos="9809" w:leader="dot"/>
            </w:tabs>
            <w:rPr/>
          </w:pPr>
          <w:hyperlink w:anchor="__RefHeading___Toc3308_767039417">
            <w:r>
              <w:rPr>
                <w:rStyle w:val="Enlacedelndice"/>
              </w:rPr>
              <w:t>1.3. Criterios y mínimos de evaluación para la materia de Cultura Audiovisual I.</w:t>
              <w:tab/>
              <w:t>4</w:t>
            </w:r>
          </w:hyperlink>
        </w:p>
        <w:p>
          <w:pPr>
            <w:pStyle w:val="Sumario2"/>
            <w:tabs>
              <w:tab w:val="clear" w:pos="9526"/>
              <w:tab w:val="right" w:pos="9809" w:leader="dot"/>
            </w:tabs>
            <w:rPr/>
          </w:pPr>
          <w:hyperlink w:anchor="__RefHeading___Toc3319_767039417">
            <w:r>
              <w:rPr>
                <w:rStyle w:val="Enlacedelndice"/>
              </w:rPr>
              <w:t>1.4. Procedimientos, instrumentos de evaluación y criterios de calificación para Cultura Audiovisual I.</w:t>
              <w:tab/>
              <w:t>7</w:t>
            </w:r>
          </w:hyperlink>
        </w:p>
        <w:p>
          <w:pPr>
            <w:pStyle w:val="Sumario2"/>
            <w:tabs>
              <w:tab w:val="clear" w:pos="9526"/>
              <w:tab w:val="right" w:pos="9809" w:leader="dot"/>
            </w:tabs>
            <w:rPr/>
          </w:pPr>
          <w:hyperlink w:anchor="__RefHeading___Toc3326_767039417">
            <w:r>
              <w:rPr>
                <w:rStyle w:val="Enlacedelndice"/>
              </w:rPr>
              <w:t>1.5. Contribución de Cultura Audiovisual I a la adquisición de las competencias básicas.</w:t>
              <w:tab/>
              <w:t>8</w:t>
            </w:r>
          </w:hyperlink>
        </w:p>
        <w:p>
          <w:pPr>
            <w:pStyle w:val="Sumario2"/>
            <w:tabs>
              <w:tab w:val="clear" w:pos="9526"/>
              <w:tab w:val="right" w:pos="9809" w:leader="dot"/>
            </w:tabs>
            <w:rPr/>
          </w:pPr>
          <w:hyperlink w:anchor="__RefHeading___Toc3346_767039417">
            <w:r>
              <w:rPr>
                <w:rStyle w:val="Enlacedelndice"/>
              </w:rPr>
              <w:t>1.6. Metodología didáctica para la materia de Cultura Audiovisual I.</w:t>
              <w:tab/>
              <w:t>10</w:t>
            </w:r>
          </w:hyperlink>
        </w:p>
        <w:p>
          <w:pPr>
            <w:pStyle w:val="Sumario2"/>
            <w:tabs>
              <w:tab w:val="clear" w:pos="9526"/>
              <w:tab w:val="right" w:pos="9809" w:leader="dot"/>
            </w:tabs>
            <w:rPr/>
          </w:pPr>
          <w:hyperlink w:anchor="__RefHeading___Toc3348_767039417">
            <w:r>
              <w:rPr>
                <w:rStyle w:val="Enlacedelndice"/>
              </w:rPr>
              <w:t>1.7. Materiales y recursos didácticos para la materia de Cultura Audiovisual I.</w:t>
              <w:tab/>
              <w:t>11</w:t>
            </w:r>
          </w:hyperlink>
          <w:r>
            <w:rPr>
              <w:rStyle w:val="Enlacedelndice"/>
            </w:rPr>
            <w:fldChar w:fldCharType="end"/>
          </w:r>
        </w:p>
      </w:sdtContent>
    </w:sdt>
    <w:p>
      <w:pPr>
        <w:pStyle w:val="Contenidodelatabla"/>
        <w:spacing w:before="0" w:after="156"/>
        <w:rPr>
          <w:b/>
          <w:b/>
          <w:bCs/>
        </w:rPr>
      </w:pPr>
      <w:r>
        <w:rPr/>
      </w:r>
    </w:p>
    <w:p>
      <w:pPr>
        <w:pStyle w:val="Ttulo1"/>
        <w:numPr>
          <w:ilvl w:val="0"/>
          <w:numId w:val="2"/>
        </w:numPr>
        <w:rPr/>
      </w:pPr>
      <w:bookmarkStart w:id="0" w:name="__RefHeading___Toc1350_767039417"/>
      <w:bookmarkEnd w:id="0"/>
      <w:r>
        <w:rPr/>
        <w:t>Cultura Audiovisual I</w:t>
      </w:r>
    </w:p>
    <w:p>
      <w:pPr>
        <w:pStyle w:val="Ttulo2"/>
        <w:numPr>
          <w:ilvl w:val="1"/>
          <w:numId w:val="2"/>
        </w:numPr>
        <w:rPr/>
      </w:pPr>
      <w:bookmarkStart w:id="1" w:name="__RefHeading___Toc1352_767039417"/>
      <w:bookmarkEnd w:id="1"/>
      <w:r>
        <w:rPr/>
        <w:t>Objetivos de la materia de Cultura Audiovisual I</w:t>
      </w:r>
    </w:p>
    <w:p>
      <w:pPr>
        <w:pStyle w:val="Cuerpodetexto"/>
        <w:rPr/>
      </w:pPr>
      <w:r>
        <w:rPr/>
        <w:t>Obj.CA.1. Aprender, profundizar y clasificar los distintos lenguajes que rodean la naturaleza de la imagen y el sonido y ser capaces de identificar su correcta combinación en función del mensaje.</w:t>
      </w:r>
    </w:p>
    <w:p>
      <w:pPr>
        <w:pStyle w:val="Cuerpodetexto"/>
        <w:rPr/>
      </w:pPr>
      <w:r>
        <w:rPr/>
        <w:t xml:space="preserve">Obj.CA.2. Entender la importancia de los medios de comunicación en una sociedad democrática y la interrelación creativa que brindan las nuevas tecnologías. </w:t>
      </w:r>
    </w:p>
    <w:p>
      <w:pPr>
        <w:pStyle w:val="Cuerpodetexto"/>
        <w:rPr/>
      </w:pPr>
      <w:r>
        <w:rPr/>
        <w:t xml:space="preserve">Obj.CA.3. Comprender y apreciar cómo el progreso actual de las Tecnologías de la Información y la Comunicación proviene de los avances técnicos y expresivos producidos a lo largo de la historia. </w:t>
      </w:r>
    </w:p>
    <w:p>
      <w:pPr>
        <w:pStyle w:val="Cuerpodetexto"/>
        <w:rPr/>
      </w:pPr>
      <w:r>
        <w:rPr/>
        <w:t xml:space="preserve">Obj.CA.4. Reconocer las diferencias existentes entre la realidad y la representación que de ella nos ofrecen los medios audiovisuales. </w:t>
      </w:r>
    </w:p>
    <w:p>
      <w:pPr>
        <w:pStyle w:val="Cuerpodetexto"/>
        <w:rPr/>
      </w:pPr>
      <w:r>
        <w:rPr/>
        <w:t xml:space="preserve">Obj.CA.5. Valorar la importancia de la función expresiva del sonido y de la música en el proceso de creación audiovisual. </w:t>
      </w:r>
    </w:p>
    <w:p>
      <w:pPr>
        <w:pStyle w:val="Cuerpodetexto"/>
        <w:rPr/>
      </w:pPr>
      <w:r>
        <w:rPr/>
        <w:t xml:space="preserve">Obj.CA.6. Conocer y comprender los aspectos estéticos, técnicos y expresivos de los medios de comunicación, reconociendo sus diferentes géneros y creando documentos audiovisuales. </w:t>
      </w:r>
    </w:p>
    <w:p>
      <w:pPr>
        <w:pStyle w:val="Cuerpodetexto"/>
        <w:rPr/>
      </w:pPr>
      <w:r>
        <w:rPr/>
        <w:t>Obj.CA.7. Analizar críticamente los mensajes gráficos y desarrollar actitudes reflexivas y creativas ante los mensajes de los medios de comunicación audiovisual, distinguiendo en ellos qué hay de información, arte, propaganda y seducción.</w:t>
      </w:r>
    </w:p>
    <w:p>
      <w:pPr>
        <w:pStyle w:val="Cuerpodetexto"/>
        <w:rPr/>
      </w:pPr>
      <w:r>
        <w:rPr/>
        <w:t xml:space="preserve">Obj.CA.8. Tomar conciencia de que toda elaboración audiovisual va dirigida al público, en su función de consumidores, para exigir productos de calidad y generar un respetuoso equilibrio entre la libertad de expresión y los derechos individuales. </w:t>
      </w:r>
    </w:p>
    <w:p>
      <w:pPr>
        <w:pStyle w:val="Cuerpodetexto"/>
        <w:rPr/>
      </w:pPr>
      <w:r>
        <w:rPr/>
        <w:t>Obj.CA.9. Utilizar el vocabulario específico de la materia para que su incorporación al vocabulario habitual aumente la precisión en el uso del lenguaje y mejore la comunicación.</w:t>
      </w:r>
    </w:p>
    <w:p>
      <w:pPr>
        <w:pStyle w:val="Cuerpodetexto"/>
        <w:rPr/>
      </w:pPr>
      <w:r>
        <w:rPr/>
        <w:t xml:space="preserve">Obj.CA.10. Integrar la cultura audiovisual en la comunicación personal como forma de conocer mejor la realidad y al propio ser humano, superando los estereotipos y prejuicios y reflexionando desde la autocrítica, el goce estético y la expresión de sentimientos e ideas propias o ajenas. </w:t>
      </w:r>
    </w:p>
    <w:p>
      <w:pPr>
        <w:pStyle w:val="Cuerpodetexto"/>
        <w:rPr/>
      </w:pPr>
      <w:r>
        <w:rPr/>
        <w:t>Obj.CA.11. Dotar al alumnado de una visión general para su orientación profesional hacia estudios superiores relacionados con la imagen y el sonido, valorando su formación en la Cultura Audiovisual en el entorno laboral de esta comunidad.</w:t>
      </w:r>
    </w:p>
    <w:p>
      <w:pPr>
        <w:pStyle w:val="Cuerpodetexto"/>
        <w:rPr/>
      </w:pPr>
      <w:r>
        <w:rPr/>
      </w:r>
    </w:p>
    <w:p>
      <w:pPr>
        <w:pStyle w:val="Ttulo2"/>
        <w:numPr>
          <w:ilvl w:val="1"/>
          <w:numId w:val="2"/>
        </w:numPr>
        <w:rPr/>
      </w:pPr>
      <w:bookmarkStart w:id="2" w:name="__RefHeading___Toc1777_767039417"/>
      <w:bookmarkEnd w:id="2"/>
      <w:r>
        <w:rPr/>
        <w:t>Contenidos y secuenciación de la materia de Cultura Audiovisual I. Contenidos mínimos.</w:t>
      </w:r>
    </w:p>
    <w:p>
      <w:pPr>
        <w:pStyle w:val="Cuerpodetexto"/>
        <w:rPr>
          <w:b/>
          <w:b/>
          <w:bCs/>
        </w:rPr>
      </w:pPr>
      <w:r>
        <w:rPr>
          <w:b/>
          <w:bCs/>
        </w:rPr>
        <w:t>Bloque 1. Imagen y significado</w:t>
      </w:r>
    </w:p>
    <w:p>
      <w:pPr>
        <w:pStyle w:val="Cuerpodetexto"/>
        <w:rPr/>
      </w:pPr>
      <w:r>
        <w:rPr/>
        <w:t>La imagen representada: funciones y forma.</w:t>
      </w:r>
    </w:p>
    <w:p>
      <w:pPr>
        <w:pStyle w:val="Cuerpodetexto"/>
        <w:rPr/>
      </w:pPr>
      <w:r>
        <w:rPr/>
        <w:t>Evolución de la construcción de imágenes fijas a lo largo de la historia del arte.</w:t>
      </w:r>
    </w:p>
    <w:p>
      <w:pPr>
        <w:pStyle w:val="Cuerpodetexto"/>
        <w:rPr/>
      </w:pPr>
      <w:r>
        <w:rPr/>
        <w:t>Los medios audiovisuales y sus características principales.</w:t>
      </w:r>
    </w:p>
    <w:p>
      <w:pPr>
        <w:pStyle w:val="Cuerpodetexto"/>
        <w:rPr/>
      </w:pPr>
      <w:r>
        <w:rPr/>
        <w:t>Evolución de los medios y lenguajes audiovisuales. El lenguaje de los "new media art". Comparativa histórica de los hitos de la fotografía, el cine, la televisión, la radio, el multimedia y los nuevos medios. El mundo audiovisual como representación del mundo real. Funciones de la imagen.</w:t>
      </w:r>
    </w:p>
    <w:p>
      <w:pPr>
        <w:pStyle w:val="Cuerpodetexto"/>
        <w:rPr/>
      </w:pPr>
      <w:r>
        <w:rPr/>
        <w:t>Trascendencia de la valoración expresiva y estética de las imágenes y de la observación critica de los mensajes.</w:t>
      </w:r>
    </w:p>
    <w:p>
      <w:pPr>
        <w:pStyle w:val="Cuerpodetexto"/>
        <w:rPr>
          <w:b/>
          <w:b/>
          <w:bCs/>
        </w:rPr>
      </w:pPr>
      <w:r>
        <w:rPr>
          <w:b/>
          <w:bCs/>
        </w:rPr>
        <w:t>Bloque 2. Imagen fija y expresión</w:t>
      </w:r>
    </w:p>
    <w:p>
      <w:pPr>
        <w:pStyle w:val="Cuerpodetexto"/>
        <w:rPr/>
      </w:pPr>
      <w:r>
        <w:rPr/>
        <w:t>Características propias de la imagen fotográfica, en relación a otras imágenes fijas.</w:t>
      </w:r>
    </w:p>
    <w:p>
      <w:pPr>
        <w:pStyle w:val="Cuerpodetexto"/>
        <w:rPr/>
      </w:pPr>
      <w:r>
        <w:rPr/>
        <w:t>El encuadre en la imagen fija.</w:t>
      </w:r>
    </w:p>
    <w:p>
      <w:pPr>
        <w:pStyle w:val="Cuerpodetexto"/>
        <w:rPr/>
      </w:pPr>
      <w:r>
        <w:rPr/>
        <w:t>La fotografía en blanco y negro y en color. Características principales. Fotógrafos de renombre nacional e internacional en blanco y negro: Henri Cartier Bresson, Martín Chambi, Irving Penn, Cecil Beaton, Ansel Adams, Gabriel Cualladó, Ramón Masats, Carlos Cánovas, etc. La obra de los principales fotógrafos y artistas en el tratamiento del color: Ernst Haas, Pete Turner, Franco Fontana, Andy Warhol, Howard Schatz, José Manuel Navia, Ouka Lele, etc</w:t>
      </w:r>
    </w:p>
    <w:p>
      <w:pPr>
        <w:pStyle w:val="Cuerpodetexto"/>
        <w:rPr/>
      </w:pPr>
      <w:r>
        <w:rPr/>
        <w:t>La fotografía como instrumento de denuncia social y su uso como imagen del poder político. Los trabajos de fotógrafos como: Dorothea Lange, Sabastiao Salgado, Kevin Carter, Manuel Pérez Barriopedro, Cristina García Rodero, Gervasio Sánchez, etc</w:t>
      </w:r>
    </w:p>
    <w:p>
      <w:pPr>
        <w:pStyle w:val="Cuerpodetexto"/>
        <w:rPr/>
      </w:pPr>
      <w:r>
        <w:rPr/>
        <w:t>La fotografía de moda. Condicionantes plásticos y económicos. La obra de Irving Penn, Cecil Beaton, Richard Avedon, Helmut Newton, Mario Testino, Jaume de Laiguana, Eugenio Recuenco, etc.</w:t>
      </w:r>
    </w:p>
    <w:p>
      <w:pPr>
        <w:pStyle w:val="Cuerpodetexto"/>
        <w:rPr/>
      </w:pPr>
      <w:r>
        <w:rPr/>
        <w:t>La realidad paradójica. La obra gráfica de los poetas visuales Chema Madoz, Isidro Ferrer. La influencia del Surrealismo, Joan Brossa y otros artistas.</w:t>
      </w:r>
    </w:p>
    <w:p>
      <w:pPr>
        <w:pStyle w:val="Cuerpodetexto"/>
        <w:rPr/>
      </w:pPr>
      <w:r>
        <w:rPr/>
        <w:t>Elementos expresivos y usos de la imagen fija. Los códigos que configuran los diferentes lenguajes.</w:t>
      </w:r>
    </w:p>
    <w:p>
      <w:pPr>
        <w:pStyle w:val="Cuerpodetexto"/>
        <w:rPr/>
      </w:pPr>
      <w:r>
        <w:rPr/>
        <w:t>La función ilustradora de la imagen (imagen y texto).</w:t>
      </w:r>
    </w:p>
    <w:p>
      <w:pPr>
        <w:pStyle w:val="Cuerpodetexto"/>
        <w:rPr/>
      </w:pPr>
      <w:r>
        <w:rPr/>
        <w:t>La composición de imágenes fijas. Ritmo Visual.</w:t>
      </w:r>
    </w:p>
    <w:p>
      <w:pPr>
        <w:pStyle w:val="Cuerpodetexto"/>
        <w:rPr/>
      </w:pPr>
      <w:r>
        <w:rPr/>
        <w:t>La narración mediante imágenes fijas (carteles, historieta gráfica, presentaciones). El guión de la historieta. Elaboración de historias gráficas mediante imágenes de uso público. La fotografía en la publicidad.</w:t>
      </w:r>
    </w:p>
    <w:p>
      <w:pPr>
        <w:pStyle w:val="Cuerpodetexto"/>
        <w:rPr/>
      </w:pPr>
      <w:r>
        <w:rPr/>
        <w:t xml:space="preserve">Sistemas de captación de imágenes. La cámara fotográfica. </w:t>
      </w:r>
    </w:p>
    <w:p>
      <w:pPr>
        <w:pStyle w:val="Cuerpodetexto"/>
        <w:rPr/>
      </w:pPr>
      <w:r>
        <w:rPr/>
        <w:t>Las técnicas digitales en el diseño, manipulación y creación de imágenes.</w:t>
      </w:r>
    </w:p>
    <w:p>
      <w:pPr>
        <w:pStyle w:val="Cuerpodetexto"/>
        <w:rPr/>
      </w:pPr>
      <w:r>
        <w:rPr/>
        <w:t>Tratamiento de imágenes digitales.</w:t>
      </w:r>
    </w:p>
    <w:p>
      <w:pPr>
        <w:pStyle w:val="Cuerpodetexto"/>
        <w:rPr>
          <w:b/>
          <w:b/>
          <w:bCs/>
        </w:rPr>
      </w:pPr>
      <w:r>
        <w:rPr>
          <w:b/>
          <w:bCs/>
        </w:rPr>
        <w:t>Bloque 3. Imagen en movimiento y expresión</w:t>
      </w:r>
    </w:p>
    <w:p>
      <w:pPr>
        <w:pStyle w:val="Cuerpodetexto"/>
        <w:rPr/>
      </w:pPr>
      <w:r>
        <w:rPr/>
        <w:t>Fundamentos perceptivos de la imagen en movimiento. La ilusión de movimiento.</w:t>
      </w:r>
    </w:p>
    <w:p>
      <w:pPr>
        <w:pStyle w:val="Cuerpodetexto"/>
        <w:rPr/>
      </w:pPr>
      <w:r>
        <w:rPr/>
        <w:t>La composición expresiva del cuadro de imagen en el cine y en televisión. La función de la iluminación.</w:t>
      </w:r>
    </w:p>
    <w:p>
      <w:pPr>
        <w:pStyle w:val="Cuerpodetexto"/>
        <w:rPr/>
      </w:pPr>
      <w:r>
        <w:rPr/>
        <w:t>Características técnicas de la imagen cinematográfica y videográfica, la imagen televisiva y de los audiovisuales. El 3D.</w:t>
      </w:r>
    </w:p>
    <w:p>
      <w:pPr>
        <w:pStyle w:val="Cuerpodetexto"/>
        <w:rPr/>
      </w:pPr>
      <w:r>
        <w:rPr/>
        <w:t>Sistemas de captación de imágenes en movimiento. Sistemas tradicionales analógicos y modernos sistemas digitales.</w:t>
      </w:r>
    </w:p>
    <w:p>
      <w:pPr>
        <w:pStyle w:val="Cuerpodetexto"/>
        <w:rPr/>
      </w:pPr>
      <w:r>
        <w:rPr/>
        <w:t>Las características expresivas de la velocidad de reproducción de imágenes: El cine mudo. La cámara lenta. El “bullet time”.</w:t>
      </w:r>
    </w:p>
    <w:p>
      <w:pPr>
        <w:pStyle w:val="Cuerpodetexto"/>
        <w:rPr>
          <w:b/>
          <w:b/>
          <w:bCs/>
        </w:rPr>
      </w:pPr>
      <w:r>
        <w:rPr>
          <w:b/>
          <w:bCs/>
        </w:rPr>
        <w:t>Bloque 4. Narrativa audiovisual</w:t>
      </w:r>
    </w:p>
    <w:p>
      <w:pPr>
        <w:pStyle w:val="Cuerpodetexto"/>
        <w:rPr/>
      </w:pPr>
      <w:r>
        <w:rPr/>
        <w:t>La narración de la imagen en movimiento. El plano y la secuencia.</w:t>
      </w:r>
    </w:p>
    <w:p>
      <w:pPr>
        <w:pStyle w:val="Cuerpodetexto"/>
        <w:rPr/>
      </w:pPr>
      <w:r>
        <w:rPr/>
        <w:t>Los planos de imagen. Los movimientos de cámara.</w:t>
      </w:r>
    </w:p>
    <w:p>
      <w:pPr>
        <w:pStyle w:val="Cuerpodetexto"/>
        <w:rPr/>
      </w:pPr>
      <w:r>
        <w:rPr/>
        <w:t>El diálogo en el cine: plano y contraplano.</w:t>
      </w:r>
    </w:p>
    <w:p>
      <w:pPr>
        <w:pStyle w:val="Cuerpodetexto"/>
        <w:rPr/>
      </w:pPr>
      <w:r>
        <w:rPr/>
        <w:t>El plano secuencia. Filmografía a destacar por el plano secuencia: La soga de Alfred Hitchcock; Sed de Mal de Orson Welles; Soy Cuba de Mikhail Kalatofov, entre otras.</w:t>
      </w:r>
    </w:p>
    <w:p>
      <w:pPr>
        <w:pStyle w:val="Cuerpodetexto"/>
        <w:rPr/>
      </w:pPr>
      <w:r>
        <w:rPr/>
        <w:t>Las relaciones espacio temporales en la narración audiovisual. El flash forward y el flash back.</w:t>
      </w:r>
    </w:p>
    <w:p>
      <w:pPr>
        <w:pStyle w:val="Cuerpodetexto"/>
        <w:rPr/>
      </w:pPr>
      <w:r>
        <w:rPr/>
        <w:t>Literatura y guión cinematográfico. La sinopsis. La escaleta. El guión literario. La secuencia. El guión técnico. El “story board.”</w:t>
      </w:r>
    </w:p>
    <w:p>
      <w:pPr>
        <w:pStyle w:val="Cuerpodetexto"/>
        <w:rPr/>
      </w:pPr>
      <w:r>
        <w:rPr/>
        <w:t xml:space="preserve">El montaje audiovisual. </w:t>
      </w:r>
    </w:p>
    <w:p>
      <w:pPr>
        <w:pStyle w:val="Cuerpodetexto"/>
        <w:rPr/>
      </w:pPr>
      <w:r>
        <w:rPr/>
        <w:t>Géneros cinematográficos. Géneros televisivos. Cine de ficción y documental. Cine de animación.</w:t>
      </w:r>
    </w:p>
    <w:p>
      <w:pPr>
        <w:pStyle w:val="Cuerpodetexto"/>
        <w:rPr>
          <w:rFonts w:ascii="FreeSerif" w:hAnsi="FreeSerif"/>
        </w:rPr>
      </w:pPr>
      <w:r>
        <w:rPr/>
        <w:t>Narrativa de los productos interactivos.</w:t>
      </w:r>
    </w:p>
    <w:p>
      <w:pPr>
        <w:pStyle w:val="Cuerpodetexto"/>
        <w:rPr>
          <w:b/>
          <w:b/>
          <w:bCs/>
        </w:rPr>
      </w:pPr>
      <w:r>
        <w:rPr>
          <w:b/>
          <w:bCs/>
        </w:rPr>
        <w:t>Bloque 5. El sonido</w:t>
      </w:r>
    </w:p>
    <w:p>
      <w:pPr>
        <w:pStyle w:val="Cuerpodetexto"/>
        <w:rPr/>
      </w:pPr>
      <w:r>
        <w:rPr/>
        <w:t xml:space="preserve">La función expresiva del sonido. Valor funcional, expresivo y comunicativo de los componentes de la banda sonora de una producción audiovisual o radiofónica. </w:t>
      </w:r>
    </w:p>
    <w:p>
      <w:pPr>
        <w:pStyle w:val="Cuerpodetexto"/>
        <w:rPr/>
      </w:pPr>
      <w:r>
        <w:rPr/>
        <w:t>La influencia del sonido en la percepción del movimiento y la velocidad y en la percepción del tiempo en la imagen.</w:t>
      </w:r>
    </w:p>
    <w:p>
      <w:pPr>
        <w:pStyle w:val="Cuerpodetexto"/>
        <w:rPr/>
      </w:pPr>
      <w:r>
        <w:rPr/>
        <w:t xml:space="preserve">Los elementos de la banda sonora y su relación perceptiva con la imagen: palabra, música, efectos sonoros, ambientales y silencio. Esquemas sonoros en relación en la escena audiovisual. </w:t>
      </w:r>
    </w:p>
    <w:p>
      <w:pPr>
        <w:pStyle w:val="Cuerpodetexto"/>
        <w:rPr/>
      </w:pPr>
      <w:r>
        <w:rPr/>
        <w:t>La adecuación de la música y de los sonidos a las intenciones expresivas y comunicativas. Integración del sonido en las producciones audiovisuales.</w:t>
      </w:r>
    </w:p>
    <w:p>
      <w:pPr>
        <w:pStyle w:val="Cuerpodetexto"/>
        <w:rPr/>
      </w:pPr>
      <w:r>
        <w:rPr/>
        <w:t>Las funciones de la música al servicio del audiovisual.</w:t>
      </w:r>
    </w:p>
    <w:p>
      <w:pPr>
        <w:pStyle w:val="Cuerpodetexto"/>
        <w:rPr/>
      </w:pPr>
      <w:r>
        <w:rPr/>
        <w:t>La grabación del sonido: Tipos esenciales de microfonía.</w:t>
      </w:r>
    </w:p>
    <w:p>
      <w:pPr>
        <w:pStyle w:val="Cuerpodetexto"/>
        <w:rPr/>
      </w:pPr>
      <w:r>
        <w:rPr/>
        <w:t>La grabación y difusión musical. Los sistemas monofónicos, estereofónicos, dolby surround, 5.1, mp3 y otros posibles.</w:t>
      </w:r>
    </w:p>
    <w:p>
      <w:pPr>
        <w:pStyle w:val="Cuerpodetexto"/>
        <w:rPr/>
      </w:pPr>
      <w:r>
        <w:rPr/>
        <w:t>El orden en la impartición de los bloques es el presentado en los párrafos anteriores y se corresponde con el de presentación de los contenidos en el libro de texto usado por el alumnado. No obstante, de acuerdo con las orientaciones metodológicas del currículo aragonés para esta materia, los contenidos impartidos serán retomados de forma continua para lograr de forma más efectiva la integración de todos los conocimientos en la creación de obras audiovisuales.</w:t>
      </w:r>
    </w:p>
    <w:p>
      <w:pPr>
        <w:pStyle w:val="Cuerpodetexto"/>
        <w:rPr/>
      </w:pPr>
      <w:r>
        <w:rPr/>
        <w:t>Todos los contenidos tienen la consideración de mínimos, excepto los del bloque 5, que sólo se impartirán a final de curso si tanto disponibilidad de tiempo como el nivel alcanzado por el alumnado lo permiten.</w:t>
      </w:r>
    </w:p>
    <w:p>
      <w:pPr>
        <w:pStyle w:val="Cuerpodetexto"/>
        <w:rPr/>
      </w:pPr>
      <w:r>
        <w:rPr/>
      </w:r>
    </w:p>
    <w:p>
      <w:pPr>
        <w:pStyle w:val="Ttulo2"/>
        <w:numPr>
          <w:ilvl w:val="1"/>
          <w:numId w:val="2"/>
        </w:numPr>
        <w:rPr/>
      </w:pPr>
      <w:bookmarkStart w:id="3" w:name="__RefHeading___Toc3308_767039417"/>
      <w:bookmarkEnd w:id="3"/>
      <w:r>
        <w:rPr/>
        <w:t>Criterios y mínimos de evaluación para la materia de Cultura Audiovisual I.</w:t>
      </w:r>
    </w:p>
    <w:tbl>
      <w:tblPr>
        <w:tblW w:w="9638" w:type="dxa"/>
        <w:jc w:val="left"/>
        <w:tblInd w:w="55" w:type="dxa"/>
        <w:tblCellMar>
          <w:top w:w="55" w:type="dxa"/>
          <w:left w:w="55" w:type="dxa"/>
          <w:bottom w:w="55" w:type="dxa"/>
          <w:right w:w="55" w:type="dxa"/>
        </w:tblCellMar>
      </w:tblPr>
      <w:tblGrid>
        <w:gridCol w:w="3627"/>
        <w:gridCol w:w="960"/>
        <w:gridCol w:w="5051"/>
      </w:tblGrid>
      <w:tr>
        <w:trPr/>
        <w:tc>
          <w:tcPr>
            <w:tcW w:w="3627" w:type="dxa"/>
            <w:tcBorders>
              <w:top w:val="single" w:sz="6" w:space="0" w:color="000000"/>
              <w:left w:val="single" w:sz="6" w:space="0" w:color="000000"/>
              <w:bottom w:val="single" w:sz="6" w:space="0" w:color="000000"/>
            </w:tcBorders>
          </w:tcPr>
          <w:p>
            <w:pPr>
              <w:pStyle w:val="Contenidodelatabla"/>
              <w:tabs>
                <w:tab w:val="clear" w:pos="708"/>
              </w:tabs>
              <w:spacing w:before="0" w:after="156"/>
              <w:rPr>
                <w:rFonts w:ascii="Verdana" w:hAnsi="Verdana"/>
                <w:b w:val="false"/>
                <w:b w:val="false"/>
                <w:bCs w:val="false"/>
                <w:sz w:val="16"/>
                <w:szCs w:val="16"/>
              </w:rPr>
            </w:pPr>
            <w:r>
              <w:rPr>
                <w:rFonts w:ascii="Verdana" w:hAnsi="Verdana"/>
                <w:b w:val="false"/>
                <w:bCs w:val="false"/>
                <w:sz w:val="16"/>
                <w:szCs w:val="16"/>
              </w:rPr>
              <w:t>Criterio</w:t>
            </w:r>
          </w:p>
        </w:tc>
        <w:tc>
          <w:tcPr>
            <w:tcW w:w="960" w:type="dxa"/>
            <w:tcBorders>
              <w:top w:val="single" w:sz="6" w:space="0" w:color="000000"/>
              <w:left w:val="single" w:sz="6" w:space="0" w:color="000000"/>
              <w:bottom w:val="single" w:sz="6" w:space="0" w:color="000000"/>
            </w:tcBorders>
          </w:tcPr>
          <w:p>
            <w:pPr>
              <w:pStyle w:val="Contenidodelatabla"/>
              <w:tabs>
                <w:tab w:val="clear" w:pos="708"/>
              </w:tabs>
              <w:spacing w:before="0" w:after="156"/>
              <w:rPr>
                <w:rFonts w:ascii="Verdana" w:hAnsi="Verdana"/>
                <w:b w:val="false"/>
                <w:b w:val="false"/>
                <w:bCs w:val="false"/>
                <w:sz w:val="16"/>
                <w:szCs w:val="16"/>
              </w:rPr>
            </w:pPr>
            <w:r>
              <w:rPr>
                <w:rFonts w:ascii="Verdana" w:hAnsi="Verdana"/>
                <w:b w:val="false"/>
                <w:bCs w:val="false"/>
                <w:sz w:val="16"/>
                <w:szCs w:val="16"/>
              </w:rPr>
              <w:t>Compe.</w:t>
            </w:r>
          </w:p>
        </w:tc>
        <w:tc>
          <w:tcPr>
            <w:tcW w:w="5051" w:type="dxa"/>
            <w:tcBorders>
              <w:top w:val="single" w:sz="6" w:space="0" w:color="000000"/>
              <w:left w:val="single" w:sz="6" w:space="0" w:color="000000"/>
              <w:bottom w:val="single" w:sz="6" w:space="0" w:color="000000"/>
              <w:right w:val="single" w:sz="6" w:space="0" w:color="000000"/>
            </w:tcBorders>
          </w:tcPr>
          <w:p>
            <w:pPr>
              <w:pStyle w:val="Contenidodelatabla"/>
              <w:tabs>
                <w:tab w:val="clear" w:pos="708"/>
              </w:tabs>
              <w:spacing w:before="0" w:after="156"/>
              <w:rPr>
                <w:rFonts w:ascii="Verdana" w:hAnsi="Verdana"/>
                <w:b w:val="false"/>
                <w:b w:val="false"/>
                <w:bCs w:val="false"/>
                <w:sz w:val="16"/>
                <w:szCs w:val="16"/>
              </w:rPr>
            </w:pPr>
            <w:r>
              <w:rPr>
                <w:rFonts w:ascii="Verdana" w:hAnsi="Verdana"/>
                <w:b w:val="false"/>
                <w:bCs w:val="false"/>
                <w:sz w:val="16"/>
                <w:szCs w:val="16"/>
              </w:rPr>
              <w:t>Estándares de evaluación</w:t>
            </w:r>
          </w:p>
        </w:tc>
      </w:tr>
      <w:tr>
        <w:trPr>
          <w:trHeight w:val="1106" w:hRule="atLeast"/>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 1.1. Explicar las diferentes funciones de la imagen representada: simbólica, religiosa, lúdica, decorativa, jerárquica, educativa, etc.</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Est.CA.1.1.1. Analiza diferentes imágenes de la historia del arte y explica la función a las que están destinadas.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Crit.CA.1.2. Reconocer y diferenciar las principales formas de representación icónica: simbolismo, realismo, expresionismo, naturalismo, idealismo, abstracción.</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Est.CA.1.2.1. Compara imágenes de la historia del arte, por ejemplo: hieratismo egipcio, helenismo griego, simbolismo románico, dramatismo barroco, realismo decimonónico, etc. y establece sus diferencias formales.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Crit.CA.1.3. Analizar las características principales de la fotografía, el sonido, el cine, la televisión y los productos digitales en internet.</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CSC</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Est.CA.1.3.1. Analiza las similitudes en los tratamientos formales entre los diferentes lenguajes audiovisuales y las distintas disciplinas artístico- visuales anteriores a la fotografía.</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Est.CA.1.3.2. Compara el tratamiento formal de la pintura y la fotografía del siglo XIX desde los distintos géneros.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Est.CA.1.3.3. Analiza las características más importantes de la comunicación audiovisual en nuestra sociedad valorando su carácter expresivo y representativo.</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Crit.CA.1.4. Valorar la importancia de la evolución de los medios y lenguajes audiovisuales en los diversos medios de comunicación en las sociedades actuales y la interrelación creativa que brindan las Tecnologías de la Información y la Comunicación.</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Est.CA.1.4.1. Explica las principales características de los medios audiovisuales actuales, sus relaciones y diferencias.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Est.CA.1.4.2. Establece las diferencias entre imagen y realidad desde los distintos grados de iconicidad.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Est.CA.1.4.3. Analiza los avances que se han producido a lo largo de la historia en el campo de las Tecnologías de la Información y la Comunicación y en la evolución estética de los mensajes audiovisuales.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Est.CA.1.4.4. Valora los diferentes contenidos multimedia y de “los nuevos medios” en la representación de la realidad.</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 2.1. Reconocer las propiedades que diferencian las imágenes según los tipos de toma fotográfica.</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Est.CA.2.1.1. Establece las diferencias entre imagen posada, instantánea y captura del movimiento.</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Crit.CA.2.2. Analizar las composiciones fotográficas, valorando la disposición de los elementos dentro del espacio físico de la imagen.</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CAA</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Est.CA.2.2.1. Realiza fotografías desde distintos puntos de vista y tipos de planos analizando los resultados obtenidos y valorando su correspondencia gráfica con trabajos similares de artistas conocidos.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Crit.CA.2.3. Analizar la capacidad expresiva de la imagen en blanco y negro y su utilización como alternativa a la fotografía en color.</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Est.CA.2.3.1. Analiza la obra de fotógrafos de renombre nacional e internacional que trabajen en blanco y negro.</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Est.CA.2.3.2. Realiza tratamientos de elaboración digital a una misma composición en B/N y color. Analiza el diferente resultado estético y semántico.</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Crit.CA.2.4. Analizar la composición del color a través del sistema RGB.</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Est.CA.2.4.1. Analiza el sistema RGB de construcción del color.</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Crit.CA.2.5. Analizar el uso del color en la imagen fija desde la saturación, matiz, inversión, etc.</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CIEE</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Est.CA.2.5.1. Realiza composiciones en color, y mediante tratamiento digital, altera el cromatismo, analizando los diferentes resultados obtenidos.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Crit.CA.2.6. Identificar los patrones icónicos de la fotografía como instrumento de difusión de la injusticia social.</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CSC</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Est.CA.2.6.1. Analiza la obra y la trascendencia social de la fotografía socio-documental.</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Crit.CA.2.7. Analizar las diferentes formas de expresar el poder político a través de los tiempos. La imagen oficial a través de la escultura, la  pintura, la fotografía y otras manifestaciones artísticas.</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CSC</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Est.CA.2.7.1. Realiza una composición analizando las diferentes formas de expresar el poder político a través de los tiempos: faraones, emperadores, reyes, presidentes, etc. Analiza las similitudes entre la fotografía y las diferentes manifestaciones artísticas de la imagen anteriores a la fotografía.</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Crit.CA.2.8. Exponer y comentar las claves plásticas de la obra de los fotógrafos de moda.</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Est.CA.2.8.1. Explica las claves plásticas y compositivas de la obra fotográfica y/o videográfica de diferentes artistas nacionales e internacionales del mundo de la moda.</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Crit.CA.2.9. Reflexionar acerca de la relación imagen-realidad surgida en la obra gráfica de distintos artistas que trabajan la poesía visual.</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Est.CA.2.9.1. Comenta la creación plástica de distintos artistas de la poesía visual, analizando el juego entre la realidad y la percepción paradójica de esta en su obra.</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Crit.CA.2.10. Analizar las distintas funciones de la imagen fija empleadas para satisfacer las necesidades expresivas de la sociedad actual, aplicándolas en la elaboración de imágenes digitales.</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CSC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CMCT</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Est.CA.2.10.1. Analiza los elementos espaciales, características básicas, significado y sentido empleados en la lectura de imágenes fijas.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Est.CA.2.10.2. Analiza las funciones del ritmo en la composición de imágenes fijas.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Est.CA.2.10.3. Valora los distintos usos de la imagen fotográfica en los medios de comunicación y en ”los nuevos medios”.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Est.CA.2.10.4. Reconoce y valora que se respete la autoría en la elaboración y distribución de fotografías por internet.</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Est.CA.2.10.5. Analiza los sistemas actuales digitales de captación y tratamiento fotográfico.</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Crit.CA.2.11. Analizar los diferentes códigos del lenguaje de la historieta o cómic y valorar la variedad de sus funciones. Conocer las principales tendencias del cómic en Europa, Estados Unidos y Japón.</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CSC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CIEE</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Est.CA.2.11.1. Analiza y reconoce los distintos formatos y soportes vinculados al cómic y reflexiona sobre su valor expresivo en la sociedad.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Est.CA.2.11.2. Realiza una narración basada en imágenes fijas, tipo cartel, viñeta, historieta gráfica, presentación u otros y desarrolla las características básicas de los elementos espaciales, el significado y sentido a través del guion así como de su ritmo visual.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Est.CA.2.11.3. Compara aspectos formales en cómics de diferentes países.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Est.CA.2.11.4. Analiza los recursos gráficos más característicos del cómic manga y su repercusión en la sociedad actual.</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Crit.CA.3.1. Analizar la técnica de exposición de imágenes fijas para simular movimiento. Desde el principio del cine, pasando por la televisión, hasta la imagen digital actual.</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Est.CA.3.1.1. Diferencia las principales características técnicas de los sistemas cine, PAL y NTSC en la reproducción de imágenes.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Crit.CA.3.2. Analizar las distintas funciones y las características comunicativas de la imagen en movimiento empleadas para satisfacer las necesidades expresivas de la sociedad actual, aplicándolas en la elaboración de producciones digitales sencillas.</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Est.CA.3.2.1. Analiza los elementos espaciales y temporales, las características básicas, el significado y el sentido en la lectura de imágenes en movimiento.</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Est.CA.3.2.2. Identifica y analiza los elementos expresivos y estéticos utilizados en las producciones audiovisuales: película cinematográfica, programa de televisión, entre otros.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Crit.CA.3.3. Diferenciar la calidad de la imagen en cuanto a resolución, brillo, luminosidad, etc. obtenida por diferentes medios digitales.</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Est.CA.3.3.1. Valora la función de la iluminación como componente expresivo en la construcción del plano de imagen.</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Est.CA.3.3.2. Identifica los distintos sistemas técnicos de captación y edición digital en producciones audiovisuales.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Est.CA.3.3.3. Analiza las características de los sistemas de captación y proyección de imágenes en 3D.</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Crit.CA.3.4. Analizar las características técnicas necesarias para la creación de los efectos: cámara rápida, lenta y “bullet time”.</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Est.CA.3.4.1. Analiza piezas videográficas o cinematográficas en las que se apliquen efectos de movimiento (intencionados o técnicos).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Crit.CA.3.5. Valorar los resultados expresivos obtenidos al alterar la velocidad de reproducción de las imágenes en movimiento.</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CAA</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CIEE</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Est.CA.3.5.1. Realiza diferentes modificaciones en piezas videográficas: alterando la velocidad de reproducción y los parámetros relacionados con el tamaño de imagen y analiza el resultado obtenido.</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Crit.CA.4.1. Relacionar la construcción del plano de imagen y su capacidad narrativa.</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CECC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Est.CA.4.1.1. Relaciona los elementos formales del plano y su consecuencia narrativa.</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Crit.CA.4.2. Diferenciar los principales tipos de plano de imagen.</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Est.CA.4.2.1. Analiza en una obra cinematográfica la construcción narrativa de los planos y la secuencia.</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Est.CA.4.2.2. Comenta a partir de una obra cinematográfica, la construcción del plano-contraplano en un diálogo.</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Est.CA.4.2.3. Explica la complejidad técnica de la construcción de un plano secuencia, utilizando, como referencia las piezas más destacadas de la historia del cine.</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Crit.CA.4.3. Analizar la importancia narrativa del flash back y flash forward en la construcción narrativa cinematográfica.</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Est.CA.4.3.1. Comenta la trascendencia narrativa del flash back y flash forward en obras cinematográficas de relevancia.</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Est.CA.4.3.2. Analiza el significado narrativo del flashback y flash forward en series para televisión.</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Crit.CA.4.4.Identificar la estructura narrativa en obras cinematográficas de relevancia.</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CMCT</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Est.CA.4.4.1. Analiza la estructura narrativa de obras significativas de la historia del cine.</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Est.CA.4.4.2. Conoce los tipos de montajes y diferencia la clave narrativa y expresiva a través de la filmografía más significativa.</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Crit.CA.4.5. Reconocer las diferencias existentes entre la realidad y la representación que nos ofrecen las imágenes en movimiento, analizando los aspectos narrativos de los productos audiovisuales y aplicando criterios expresivos.</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Est.CA.4.5.1. Identifica y especifica la tipología de género, la intencionalidad comunicativa y los códigos expresivos empleados en la realización de películas y programas de televisión, a partir de su visionado y análisis.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Crit.CA.4.6. Identificar y analizar los elementos técnicos, expresivos y estéticos utilizados en las producciones audiovisuales.</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Est.CA.4.6.1. Analiza producciones multimedia interactivas y "new media art", identificando las características de los distintos productos y sus posibilidades.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Est.CA.4.6.2. Identifica y analiza los elementos técnicos expresivos y estéticos utilizados en las producciones audiovisuales y los aplica en la valoración de diversos productos: película cinematográfica y programa de televisión, entre otros.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Crit.CA.4.7. Identificar las posibilidades de las Tecnologías de la Información y la Comunicación, con especial atención a los medios de comunicación de libre acceso como Internet.</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Est.CA.4.7.1. Identifica y explica las posibilidades de las Tecnologías de la Información y la Comunicación, con especial atención a los medios de comunicación de libre acceso como Internet.</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Crit.CA.1.1. Analizar las características técnicas del sonido. Longitud y frecuencia de onda. Timbre.</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CLC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CMCT</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Est.CA.1.1.1. Explica las características físicas del sonido, proceso de creación y difusión.</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Crit.CA.1.2. Diferenciar los sistemas de captación microfónica a partir de las necesidades de obtención del sonido.</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CAA</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Est.CA.1.2.1. Realiza grabaciones de sonido con aparatos sencillos y valora los resultados obtenidos.</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Crit.CA.1.3. Diferenciar las características técnicas principales de grabación y difusión de sonidos a través de los diferentes sistemas: monofónicos, estereofónicos, dolby surround, 5.1, mp3, etc.</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CMCT</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Est.CA.1.3.1. Realiza una edición digital, convirtiendo piezas musicales de un sistema de sonido a otro (mono-estéreo, PCM- wav, aiff- mp3) y evalúa los resultados. Tamaño, calidad, destino final, etc.</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Crit.CA.1.4. Explicar la relación entre la imagen y el sonido.</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CIEE</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CMCT</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Est.CA.1.4.1. Construye piezas audiovisuales combinando imagen y sonido. Integra diferentes esquemas de sonido, musicas y efectos en la narración visual.</w:t>
            </w:r>
          </w:p>
        </w:tc>
      </w:tr>
      <w:tr>
        <w:trPr/>
        <w:tc>
          <w:tcPr>
            <w:tcW w:w="3627"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Crit.CA.1.5. Analizar el diferente resultado perceptivo obtenido al modificar los elementos sonoros en una producción audiovisual.</w:t>
            </w:r>
          </w:p>
        </w:tc>
        <w:tc>
          <w:tcPr>
            <w:tcW w:w="960" w:type="dxa"/>
            <w:tcBorders>
              <w:left w:val="single" w:sz="6" w:space="0" w:color="000000"/>
              <w:bottom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CSC</w:t>
            </w:r>
          </w:p>
        </w:tc>
        <w:tc>
          <w:tcPr>
            <w:tcW w:w="5051" w:type="dxa"/>
            <w:tcBorders>
              <w:left w:val="single" w:sz="6" w:space="0" w:color="000000"/>
              <w:bottom w:val="single" w:sz="6" w:space="0" w:color="000000"/>
              <w:right w:val="single" w:sz="6"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Est.CA.1.5.1. Analiza el valor funcional, expresivo y comunicativo de los recursos sonoros (voz, efectos y música) empleados en una producción radiofónica o en la banda sonora de una producción audiovisual.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Est.CA.1.5.2. Observa productos audiovisuales, valorando las funciones comunicativas y estéticas de la integración de imagen y sonido.</w:t>
            </w:r>
          </w:p>
        </w:tc>
      </w:tr>
    </w:tbl>
    <w:p>
      <w:pPr>
        <w:pStyle w:val="Normal"/>
        <w:rPr>
          <w:rFonts w:ascii="Times New Roman" w:hAnsi="Times New Roman" w:eastAsia="Times New Roman"/>
          <w:color w:val="000000"/>
          <w:sz w:val="24"/>
          <w:lang w:val="es-ES" w:eastAsia="ar-SA"/>
        </w:rPr>
      </w:pPr>
      <w:r>
        <w:rPr>
          <w:rFonts w:eastAsia="Times New Roman" w:ascii="Times New Roman" w:hAnsi="Times New Roman"/>
          <w:color w:val="000000"/>
          <w:sz w:val="24"/>
          <w:lang w:val="es-ES" w:eastAsia="ar-SA"/>
        </w:rPr>
      </w:r>
    </w:p>
    <w:p>
      <w:pPr>
        <w:pStyle w:val="Ttulo2"/>
        <w:numPr>
          <w:ilvl w:val="1"/>
          <w:numId w:val="2"/>
        </w:numPr>
        <w:rPr/>
      </w:pPr>
      <w:bookmarkStart w:id="4" w:name="__RefHeading___Toc3319_767039417"/>
      <w:bookmarkEnd w:id="4"/>
      <w:r>
        <w:rPr/>
        <w:t>Procedimientos, instrumentos de evaluación y criterios de calificación para Cultura Audiovisual I.</w:t>
      </w:r>
    </w:p>
    <w:p>
      <w:pPr>
        <w:pStyle w:val="Cuerpodetexto"/>
        <w:rPr/>
      </w:pPr>
      <w:r>
        <w:rPr/>
        <w:t>Para la evaluación inicial de principios de curso, se utilizará una prueba de preguntas cortas, que sondee los conocimientos adquiridos en la etapa anterior y las motivaciones e intereses de cada alumno, con el fin de adaptar la metodología y el carácter de  los trabajos prácticos. Las preguntas de la prueba versarán sobre historia del arte, historia de la música, lenguaje musical, expresión gráfica, gustos musicales y cinematográficos, orientación vocacional y estudios de carácter artístico o creativo realizados.</w:t>
      </w:r>
    </w:p>
    <w:p>
      <w:pPr>
        <w:pStyle w:val="Cuerpodetexto"/>
        <w:rPr/>
      </w:pPr>
      <w:r>
        <w:rPr/>
        <w:t>La evaluación será de tipo continuo y comprensivo; como instrumentos de evaluación se utilizarán los siguientes:</w:t>
      </w:r>
    </w:p>
    <w:p>
      <w:pPr>
        <w:pStyle w:val="Cuerpodetexto"/>
        <w:rPr/>
      </w:pPr>
      <w:r>
        <w:rPr/>
        <w:t xml:space="preserve">• </w:t>
      </w:r>
      <w:r>
        <w:rPr/>
        <w:t>Pruebas escritas. Cada prueba comprenderá toda la materia impartida hasta el momento y versará sobre los contenidos teóricos impartidos y su aplicación a casos prácticos.</w:t>
      </w:r>
    </w:p>
    <w:p>
      <w:pPr>
        <w:pStyle w:val="Cuerpodetexto"/>
        <w:rPr/>
      </w:pPr>
      <w:r>
        <w:rPr/>
        <w:t xml:space="preserve"> • </w:t>
      </w:r>
      <w:r>
        <w:rPr/>
        <w:t xml:space="preserve">Trabajos prácticos de análisis y de creación de contenidos audiovisuales sobre un </w:t>
      </w:r>
      <w:r>
        <w:rPr>
          <w:b w:val="false"/>
          <w:bCs w:val="false"/>
        </w:rPr>
        <w:t>tema</w:t>
      </w:r>
      <w:r>
        <w:rPr/>
        <w:t xml:space="preserve"> </w:t>
      </w:r>
      <w:r>
        <w:rPr>
          <w:b w:val="false"/>
          <w:bCs w:val="false"/>
        </w:rPr>
        <w:t>dado</w:t>
      </w:r>
      <w:r>
        <w:rPr/>
        <w:t>.</w:t>
      </w:r>
    </w:p>
    <w:p>
      <w:pPr>
        <w:pStyle w:val="Cuerpodetexto"/>
        <w:rPr/>
      </w:pPr>
      <w:r>
        <w:rPr/>
        <w:t xml:space="preserve"> • </w:t>
      </w:r>
      <w:r>
        <w:rPr/>
        <w:t>El trabajo diario y la participación en las actividades de clase.</w:t>
      </w:r>
    </w:p>
    <w:p>
      <w:pPr>
        <w:pStyle w:val="Cuerpodetexto"/>
        <w:rPr/>
      </w:pPr>
      <w:r>
        <w:rPr/>
        <w:t>A todos los instrumentos antes citados les serán aplicados los criterios de evaluación enumerados en la presente programación.</w:t>
      </w:r>
    </w:p>
    <w:p>
      <w:pPr>
        <w:pStyle w:val="Cuerpodetexto"/>
        <w:rPr/>
      </w:pPr>
      <w:r>
        <w:rPr/>
        <w:t>En cada momento, la calificación media del alumnado se calculará usando la media ponderada de todos los trabajos y pruebas realizadas hasta la fecha. Los coeficientes de ponderación son los indicados en el cuadro siguiente:</w:t>
      </w:r>
    </w:p>
    <w:tbl>
      <w:tblPr>
        <w:tblW w:w="9563" w:type="dxa"/>
        <w:jc w:val="left"/>
        <w:tblInd w:w="305" w:type="dxa"/>
        <w:tblCellMar>
          <w:top w:w="55" w:type="dxa"/>
          <w:left w:w="55" w:type="dxa"/>
          <w:bottom w:w="55" w:type="dxa"/>
          <w:right w:w="55" w:type="dxa"/>
        </w:tblCellMar>
      </w:tblPr>
      <w:tblGrid>
        <w:gridCol w:w="5812"/>
        <w:gridCol w:w="1200"/>
        <w:gridCol w:w="1238"/>
        <w:gridCol w:w="1312"/>
      </w:tblGrid>
      <w:tr>
        <w:trPr/>
        <w:tc>
          <w:tcPr>
            <w:tcW w:w="5812" w:type="dxa"/>
            <w:tcBorders>
              <w:top w:val="single" w:sz="2" w:space="0" w:color="000000"/>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Instrumento de evaluación</w:t>
            </w:r>
          </w:p>
        </w:tc>
        <w:tc>
          <w:tcPr>
            <w:tcW w:w="1200" w:type="dxa"/>
            <w:tcBorders>
              <w:top w:val="single" w:sz="2" w:space="0" w:color="000000"/>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Tipo</w:t>
            </w:r>
          </w:p>
        </w:tc>
        <w:tc>
          <w:tcPr>
            <w:tcW w:w="1238" w:type="dxa"/>
            <w:tcBorders>
              <w:top w:val="single" w:sz="2" w:space="0" w:color="000000"/>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Evaluación</w:t>
            </w:r>
          </w:p>
        </w:tc>
        <w:tc>
          <w:tcPr>
            <w:tcW w:w="1312" w:type="dxa"/>
            <w:tcBorders>
              <w:top w:val="single" w:sz="2" w:space="0" w:color="000000"/>
              <w:left w:val="single" w:sz="2" w:space="0" w:color="000000"/>
              <w:bottom w:val="single" w:sz="2" w:space="0" w:color="000000"/>
              <w:right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Ponderación</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Primera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Segunda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Tercera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Cuarta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4,0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Quinta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5,0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Sexta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6,0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Análisis denotativo de imagen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Análisis denotativo y connotativo de imagen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Análisis denotativo, connotativo y técnico de imagen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sz w:val="21"/>
                <w:szCs w:val="21"/>
              </w:rPr>
              <w:t xml:space="preserve">Pictograma </w:t>
            </w:r>
            <w:r>
              <w:rPr>
                <w:rFonts w:ascii="FreeSans" w:hAnsi="FreeSans"/>
                <w:b w:val="false"/>
                <w:bCs w:val="false"/>
                <w:sz w:val="21"/>
                <w:szCs w:val="21"/>
              </w:rPr>
              <w:t>mediante</w:t>
            </w:r>
            <w:r>
              <w:rPr>
                <w:rFonts w:ascii="FreeSans" w:hAnsi="FreeSans"/>
                <w:sz w:val="21"/>
                <w:szCs w:val="21"/>
              </w:rPr>
              <w:t xml:space="preserve"> elementos básicos del lenguaje visual</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Cartel para una campaña de concienciación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b w:val="false"/>
                <w:bCs w:val="false"/>
                <w:sz w:val="21"/>
                <w:szCs w:val="21"/>
              </w:rPr>
              <w:t>Fotografía original según el estilo de Chema Madoz</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Exposición sobre un fotógrafo del bloque 2 de contenidos</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Guión dramatizado sobre un cuento popular</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 3</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Grabación y edición de audio del guión del cuento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 3</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b w:val="false"/>
                <w:bCs w:val="false"/>
                <w:sz w:val="21"/>
                <w:szCs w:val="21"/>
              </w:rPr>
              <w:t>Realización a mano de  9 ilustraciones para el cuento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 3</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Montaje de las ilustraciones y audio del cuento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 3</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Guión y story board de un corto de temática surrealista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 3</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Grabación del corto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 3</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Montaje del corto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 3</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1,5</w:t>
            </w:r>
          </w:p>
        </w:tc>
      </w:tr>
    </w:tbl>
    <w:p>
      <w:pPr>
        <w:pStyle w:val="Cuerpodetexto"/>
        <w:rPr/>
      </w:pPr>
      <w:r>
        <w:rPr/>
      </w:r>
    </w:p>
    <w:p>
      <w:pPr>
        <w:pStyle w:val="Cuerpodetexto"/>
        <w:rPr/>
      </w:pPr>
      <w:r>
        <w:rPr/>
        <w:t xml:space="preserve">A la media calculada con los coeficientes de ponderación se le sumará la calificación del trabajo diario y la participación, que se </w:t>
      </w:r>
      <w:r>
        <w:rPr>
          <w:b w:val="false"/>
          <w:bCs w:val="false"/>
        </w:rPr>
        <w:t>valorarán</w:t>
      </w:r>
      <w:r>
        <w:rPr/>
        <w:t xml:space="preserve"> registrando las intervenciones del alumno en clase, su actitud e interés por las normas de convivencia y por la materia en general, su progreso a lo largo del proceso de aprendizaje, la realización de las actividades propuestas en clase, etc. Cada anotación positiva supondrá 0,05 puntos y cada anotación negativa -0,05 puntos, hasta un máximo de ±1 puntos.</w:t>
      </w:r>
    </w:p>
    <w:p>
      <w:pPr>
        <w:pStyle w:val="Cuerpodetexto"/>
        <w:rPr/>
      </w:pPr>
      <w:r>
        <w:rPr/>
        <w:t>Las pruebas escritas no realizadas sin causa justificada documentalmente se calificarán con cero puntos y no se repetirán.</w:t>
      </w:r>
    </w:p>
    <w:p>
      <w:pPr>
        <w:pStyle w:val="Cuerpodetexto"/>
        <w:rPr/>
      </w:pPr>
      <w:r>
        <w:rPr/>
        <w:t>Los trabajos copiados, no entregados o entregados fuera de fecha sin causa justificada documentalmente serán calificados con cero puntos y no se repetirán.</w:t>
      </w:r>
    </w:p>
    <w:p>
      <w:pPr>
        <w:pStyle w:val="Cuerpodetexto"/>
        <w:rPr/>
      </w:pPr>
      <w:r>
        <w:rPr/>
        <w:t xml:space="preserve">Los alumnos que no alcancen una calificación </w:t>
      </w:r>
      <w:r>
        <w:rPr>
          <w:b w:val="false"/>
          <w:bCs w:val="false"/>
        </w:rPr>
        <w:t>media</w:t>
      </w:r>
      <w:r>
        <w:rPr/>
        <w:t xml:space="preserve"> final de 5 puntos, deberán realizar una prueba extraordinaria en junio, que versará sobre todos los contenidos de la materia, incluyendo cuestiones sobre análisis de imágenes. </w:t>
      </w:r>
    </w:p>
    <w:p>
      <w:pPr>
        <w:pStyle w:val="Cuerpodetexto"/>
        <w:rPr/>
      </w:pPr>
      <w:r>
        <w:rPr/>
        <w:t>Cuando una persona sea sorprendida en un examen copiando o portando visiblemente material que permita la copia, incluyendo dispositivos digitales, le será retirado el examen, que será calificado con cero puntos y no se repetirá, de acuerdo con lo dispuesto en el vigente RRI del centro.</w:t>
      </w:r>
    </w:p>
    <w:p>
      <w:pPr>
        <w:pStyle w:val="Cuerpodetexto"/>
        <w:rPr/>
      </w:pPr>
      <w:r>
        <w:rPr/>
        <w:t xml:space="preserve">Una acumulación de faltas de asistencia a clase sin justificar superior al 15 % del total de horas del curso, implicará la pérdida </w:t>
      </w:r>
      <w:r>
        <w:rPr>
          <w:b w:val="false"/>
          <w:bCs w:val="false"/>
        </w:rPr>
        <w:t>de la posibilidad de ser evaluado</w:t>
      </w:r>
      <w:r>
        <w:rPr/>
        <w:t xml:space="preserve"> mediante los procedimientos e instrumentos descritos en este apartado. En estos casos deberá realizarse </w:t>
      </w:r>
      <w:r>
        <w:rPr>
          <w:b w:val="false"/>
          <w:bCs w:val="false"/>
        </w:rPr>
        <w:t>una</w:t>
      </w:r>
      <w:r>
        <w:rPr/>
        <w:t xml:space="preserve"> prueba escrita de carácter global </w:t>
      </w:r>
      <w:r>
        <w:rPr>
          <w:b w:val="false"/>
          <w:bCs w:val="false"/>
        </w:rPr>
        <w:t>que se celebrará a final de curso, antes de la prueba extraordinaria de junio y que será de carácter análogo a dicha prueba.</w:t>
      </w:r>
    </w:p>
    <w:p>
      <w:pPr>
        <w:pStyle w:val="Cuerpodetexto"/>
        <w:rPr/>
      </w:pPr>
      <w:r>
        <w:rPr>
          <w:b w:val="false"/>
          <w:bCs w:val="false"/>
        </w:rPr>
        <w:t>La calificación que constará en el acta de la evaluación extraordinaria de junio será la redondeada al entero inmediatamente inferior.</w:t>
      </w:r>
    </w:p>
    <w:p>
      <w:pPr>
        <w:pStyle w:val="Cuerpodetexto"/>
        <w:rPr/>
      </w:pPr>
      <w:r>
        <w:rPr/>
      </w:r>
    </w:p>
    <w:p>
      <w:pPr>
        <w:pStyle w:val="Ttulo2"/>
        <w:numPr>
          <w:ilvl w:val="1"/>
          <w:numId w:val="2"/>
        </w:numPr>
        <w:rPr/>
      </w:pPr>
      <w:bookmarkStart w:id="5" w:name="__RefHeading___Toc3326_767039417"/>
      <w:bookmarkEnd w:id="5"/>
      <w:r>
        <w:rPr/>
        <w:t>Contribución de Cultura Audiovisual I a la adquisición de las competencias básicas.</w:t>
      </w:r>
    </w:p>
    <w:p>
      <w:pPr>
        <w:pStyle w:val="Cuerpodetexto"/>
        <w:rPr/>
      </w:pPr>
      <w:r>
        <w:rPr/>
        <w:t xml:space="preserve">El propio carácter de la materia hace que los saberes conceptuales tengan una inmediata y coherente aplicación a través de los saberes procedimentales. A partir de las actitudes y valores del currículo de dicha materia y del desarrollo de las metodologías activas contextualizadas en las experiencias de aprendizajes diversos, se proporciona al alumnado una relevante herramienta con la que poder interactuar en el marco de la cultura audiovisual. </w:t>
      </w:r>
    </w:p>
    <w:p>
      <w:pPr>
        <w:pStyle w:val="Cuerpodetexto"/>
        <w:rPr/>
      </w:pPr>
      <w:r>
        <w:rPr/>
        <w:t>Estos compromisos son los que se tienen en cuenta a través de las siete competencias clave que se aplican en los objetivos, contenidos y criterios de evaluación de esta materia.</w:t>
      </w:r>
    </w:p>
    <w:p>
      <w:pPr>
        <w:pStyle w:val="Cuerpodetexto"/>
        <w:rPr/>
      </w:pPr>
      <w:r>
        <w:rPr/>
      </w:r>
    </w:p>
    <w:p>
      <w:pPr>
        <w:pStyle w:val="Cuerpodetexto"/>
        <w:rPr>
          <w:b/>
          <w:b/>
          <w:bCs/>
        </w:rPr>
      </w:pPr>
      <w:r>
        <w:rPr>
          <w:b/>
          <w:bCs/>
        </w:rPr>
        <w:t>Competencia en comunicación lingüística</w:t>
      </w:r>
    </w:p>
    <w:p>
      <w:pPr>
        <w:pStyle w:val="Cuerpodetexto"/>
        <w:rPr/>
      </w:pPr>
      <w:r>
        <w:rPr/>
        <w:t>Se elaboran mensajes a través de los distintos lenguajes de la imagen y del sonido en diversos formatos, soportes, contextos y situaciones de comunicación. Se interpretan los mensajes recibidos desde el conocimiento de los códigos de su propio contexto socio-cultural e intercultural, favoreciendo la interacción e intercambio comunicativo. Se pone en juego lo discursivo, lo argumentativo y la escucha activa y el lenguaje no verbal. Con la búsqueda y tratamiento de la información, se desarrolla un espíritu crítico, dialogante y respetuoso, donde la libertad de expresión suponga una fuente de disfrute de las ideas, experiencias y emociones propias y ajenas.</w:t>
      </w:r>
    </w:p>
    <w:p>
      <w:pPr>
        <w:pStyle w:val="Cuerpodetexto"/>
        <w:rPr>
          <w:b/>
          <w:b/>
          <w:bCs/>
        </w:rPr>
      </w:pPr>
      <w:r>
        <w:rPr>
          <w:b/>
          <w:bCs/>
        </w:rPr>
        <w:t>Competencia matemática y competencias básicas en ciencia y tecnología</w:t>
      </w:r>
    </w:p>
    <w:p>
      <w:pPr>
        <w:pStyle w:val="Cuerpodetexto"/>
        <w:rPr/>
      </w:pPr>
      <w:r>
        <w:rPr/>
        <w:t>Se pretende el uso correcto del lenguaje científico en relación con tomar datos, manejar unidades, elaborar tablas y gráficos, con la intención de secuenciar la información y resolver problemas de un proyecto o tarea determinada. Se descodifica y codifica la información visual procedente de parámetros espaciales, que conlleven estudiar las propiedades, posiciones y direcciones relativas de los objetos en el espacio o en el plano. Se construye e interpreta para transformar materiales y formas atendiendo a sus atributos. Es necesario aplicar el método científico racional para adquirir conocimientos, contrastar ideas y aplicar descubrimientos. Se fomentan las destrezas tecnológicas necesarias para interpretar datos, buscar soluciones y crear nuevos productos audiovisuales. Se identifican, estudian y resuelven retos y problemas en situaciones de la vida cotidiana desde la puesta en valor de la salud física y mental, desde la disciplina, el rigor, la paciencia, el riesgo y la limpieza, generando un compromiso responsable con el entorno y la sociedad.</w:t>
      </w:r>
    </w:p>
    <w:p>
      <w:pPr>
        <w:pStyle w:val="Cuerpodetexto"/>
        <w:rPr>
          <w:b/>
          <w:b/>
          <w:bCs/>
        </w:rPr>
      </w:pPr>
      <w:r>
        <w:rPr>
          <w:b/>
          <w:bCs/>
        </w:rPr>
        <w:t>Competencia digital</w:t>
      </w:r>
    </w:p>
    <w:p>
      <w:pPr>
        <w:pStyle w:val="Cuerpodetexto"/>
        <w:rPr/>
      </w:pPr>
      <w:r>
        <w:rPr/>
        <w:t>Se plantea el uso activo, creativo, crítico y seguro de las Tecnologías de la Información y la Comunicación, valorando sus fortalezas y debilidades y respetando los principios éticos de su uso. Se conocen y reconocen los lenguajes icónicos, visuales y sonoros para su descodificación, transferencia y transformación. Se conocen las aplicaciones informáticas más comunes y se seleccionan las que más se adaptan al contenido y finalidad del proyecto.</w:t>
      </w:r>
    </w:p>
    <w:p>
      <w:pPr>
        <w:pStyle w:val="Cuerpodetexto"/>
        <w:rPr>
          <w:b/>
          <w:b/>
          <w:bCs/>
        </w:rPr>
      </w:pPr>
      <w:r>
        <w:rPr>
          <w:b/>
          <w:bCs/>
        </w:rPr>
        <w:t>Competencia de aprender a aprender</w:t>
      </w:r>
    </w:p>
    <w:p>
      <w:pPr>
        <w:pStyle w:val="Cuerpodetexto"/>
        <w:rPr/>
      </w:pPr>
      <w:r>
        <w:rPr/>
        <w:t>Se conocen, reflexionan conscientemente y organizan los propios procesos de aprendizaje para ajustarlos a los tiempos y a las demandas diversas. Es necesario desarrollar las habilidades para iniciar, organizar y persistir en el aprendizaje desde la motivación por aprender y desde el fomento de la autoconfianza mediante metas realistas a corto, medio y largo plazo. A través de la disciplina y la elección de estrategias posibles se toma conciencia de cómo se aprende, de lo que se sabe, lo que se desconoce, lo que se es capaz de aprender, lo que interesa y lo que se descubre en situaciones de trabajo individual y cooperativo.</w:t>
      </w:r>
    </w:p>
    <w:p>
      <w:pPr>
        <w:pStyle w:val="Cuerpodetexto"/>
        <w:rPr>
          <w:b/>
          <w:b/>
          <w:bCs/>
        </w:rPr>
      </w:pPr>
      <w:r>
        <w:rPr>
          <w:b/>
          <w:bCs/>
        </w:rPr>
        <w:t>Competencias sociales y cívicas</w:t>
      </w:r>
    </w:p>
    <w:p>
      <w:pPr>
        <w:pStyle w:val="Cuerpodetexto"/>
        <w:rPr/>
      </w:pPr>
      <w:r>
        <w:rPr/>
        <w:t>Se participa a nivel personal e interpersonal en la interpretación de fenómenos y problemas sociales para, desde los propios conocimientos, elaborar respuestas, tomar decisiones y resolver problemas. Será necesario conocer y emplear las principales técnicas, materiales, recursos y convenciones de los diferentes lenguajes artísticos para diseñar proyectos individuales o cooperativos desde el respeto mutuo, la empatía, la tolerancia, la democracia y la igualdad entre las distintas identidades defendiendo los derechos humanos.</w:t>
      </w:r>
    </w:p>
    <w:p>
      <w:pPr>
        <w:pStyle w:val="Cuerpodetexto"/>
        <w:rPr>
          <w:b/>
          <w:b/>
          <w:bCs/>
        </w:rPr>
      </w:pPr>
      <w:r>
        <w:rPr>
          <w:b/>
          <w:bCs/>
        </w:rPr>
        <w:t>Competencia de sentido de iniciativa y el espíritu emprendedor</w:t>
      </w:r>
    </w:p>
    <w:p>
      <w:pPr>
        <w:pStyle w:val="Cuerpodetexto"/>
        <w:rPr/>
      </w:pPr>
      <w:r>
        <w:rPr/>
        <w:t xml:space="preserve">Se desarrolla la capacidad de transformar las ideas en actos con iniciativa emprendedora, creativa e imaginativa. Se diseña un plan de trabajo desde el análisis, la organización, gestión de recursos y conocimientos, destrezas, toma de decisiones... con una postura ética y adquiriendo conciencia de la situación a intervenir o resolver. Será importante la capacidad de adaptación al cambio, desde el autoconocimiento y la autoestima, sin perder la autoconfianza, autonomía, interés y esfuerzo por un trabajo responsable y eficiente que respete la condición individual o grupal. </w:t>
      </w:r>
    </w:p>
    <w:p>
      <w:pPr>
        <w:pStyle w:val="Cuerpodetexto"/>
        <w:rPr>
          <w:b/>
          <w:b/>
          <w:bCs/>
        </w:rPr>
      </w:pPr>
      <w:r>
        <w:rPr>
          <w:b/>
          <w:bCs/>
        </w:rPr>
        <w:t>Competencia de conciencia y expresiones culturales</w:t>
      </w:r>
    </w:p>
    <w:p>
      <w:pPr>
        <w:pStyle w:val="Cuerpodetexto"/>
        <w:rPr/>
      </w:pPr>
      <w:r>
        <w:rPr/>
        <w:t>Se conocen diversos códigos artísticos y culturales. Es prioritario comprenderlos, apreciarlos y valorarlos con espíritu crítico y con actitud abierta y respetuosa, para poder emplearlos como medio de expresión y creación personal y permitirnos su disfrute como parte de la riqueza y patrimonio cultural de la diversidad de nuestra sociedad. Se conocen y comprenden autores, obras, géneros y estilos de distintas manifestaciones artístico-culturales para facilitar la participación en la vida y actividad cultural del contexto espacio-temporal del alumnado y colaborar en la necesidad de cuidar y preservar dicho patrimonio. Se potencian las habilidades perceptivas, comunicativas, estéticas y sensibles con el fin de producir, imaginar, crear, recrear, compartir y dialogar entre culturas y sociedades, valorando la libertad de expresión en la realización de dichas experiencias.</w:t>
      </w:r>
    </w:p>
    <w:p>
      <w:pPr>
        <w:pStyle w:val="Cuerpodetexto"/>
        <w:rPr/>
      </w:pPr>
      <w:r>
        <w:rPr/>
      </w:r>
    </w:p>
    <w:p>
      <w:pPr>
        <w:pStyle w:val="Ttulo2"/>
        <w:numPr>
          <w:ilvl w:val="1"/>
          <w:numId w:val="2"/>
        </w:numPr>
        <w:rPr/>
      </w:pPr>
      <w:bookmarkStart w:id="6" w:name="__RefHeading___Toc3346_767039417"/>
      <w:bookmarkEnd w:id="6"/>
      <w:r>
        <w:rPr/>
        <w:t>Metodología didáctica para la materia de Cultura Audiovisual I.</w:t>
      </w:r>
    </w:p>
    <w:p>
      <w:pPr>
        <w:pStyle w:val="Cuerpodetexto"/>
        <w:rPr/>
      </w:pPr>
      <w:r>
        <w:rPr/>
        <w:t>Los contenidos de estas enseñanzas están ordenados con la finalidad de dominar los elementos del lenguaje para crear productos audiovisuales. Se empleará una metodología activa que implique la realización de trabajos individuales, en parejas y en grupos buscando objetivos concretos de exigencia creciente. Se busca una realimentación continua en el proceso de aprendizaje. Es por ello que se ha optado también por una evaluación continua y de tipo comprensivo.</w:t>
      </w:r>
    </w:p>
    <w:p>
      <w:pPr>
        <w:pStyle w:val="Cuerpodetexto"/>
        <w:rPr/>
      </w:pPr>
      <w:r>
        <w:rPr/>
        <w:t>La adquisición de los conceptos teóricos básicos requiere la exposición continua del alumno al patrimonio audiovisual, por lo que las audiciones y visualizaciones de fragmentos de creaciones audiovisuales constituirán el elemento más importante de las clases teóricas. Los conceptos fundamentales se registrarán en un cuaderno personal a modo de glosario, que tendrá continuidad durante el curso siguiente.</w:t>
      </w:r>
    </w:p>
    <w:p>
      <w:pPr>
        <w:pStyle w:val="Cuerpodetexto"/>
        <w:rPr/>
      </w:pPr>
      <w:r>
        <w:rPr/>
        <w:t>Cultura Audiovisual I es una materia de síntesis, por lo que se espera que el alumno integre y aplique los conocimientos y habilidades que ha adquirido desde varias áreas o materias. La evaluación inicial determinará cuál es el estado de partida del alumno, así como sus intereses y motivaciones, que servirán para orientar los trabajos prácticos y conseguir así el máximo de eficacia y expresividad.</w:t>
      </w:r>
    </w:p>
    <w:p>
      <w:pPr>
        <w:pStyle w:val="Cuerpodetexto"/>
        <w:rPr/>
      </w:pPr>
      <w:r>
        <w:rPr/>
        <w:t>La parte creativa de la materia se trabajará principalmente usando las TIC, por lo que el aprendizaje de las técnicas digitales en el aula de informática y la difusión a través de la red de los productos realizados se consideran fundamentales en el proceso de aprendizaje.</w:t>
      </w:r>
    </w:p>
    <w:p>
      <w:pPr>
        <w:pStyle w:val="Cuerpodetexto"/>
        <w:rPr/>
      </w:pPr>
      <w:r>
        <w:rPr/>
        <w:t>Se permitirá también el uso del teléfono móvil, principalmente para la captación de imágenes fijas, filmaciones y audios.</w:t>
      </w:r>
    </w:p>
    <w:p>
      <w:pPr>
        <w:pStyle w:val="Cuerpodetexto"/>
        <w:rPr/>
      </w:pPr>
      <w:r>
        <w:rPr/>
        <w:t>La valoración de la motivación y del desarrollo del pensamiento crítico y reflexivo del alumno y la vinculación y compromiso personal con su propio esfuerzo se fomentarán y se valorarán tal y como se indica en el apartado de evaluación de esta programación.</w:t>
      </w:r>
    </w:p>
    <w:p>
      <w:pPr>
        <w:pStyle w:val="Cuerpodetexto"/>
        <w:rPr/>
      </w:pPr>
      <w:r>
        <w:rPr/>
      </w:r>
    </w:p>
    <w:p>
      <w:pPr>
        <w:pStyle w:val="Ttulo2"/>
        <w:numPr>
          <w:ilvl w:val="1"/>
          <w:numId w:val="2"/>
        </w:numPr>
        <w:rPr/>
      </w:pPr>
      <w:bookmarkStart w:id="7" w:name="__RefHeading___Toc3348_767039417"/>
      <w:bookmarkEnd w:id="7"/>
      <w:r>
        <w:rPr/>
        <w:t>Materiales y recursos didácticos para la materia de Cultura Audiovisual I.</w:t>
      </w:r>
    </w:p>
    <w:p>
      <w:pPr>
        <w:pStyle w:val="Cuerpodetexto"/>
        <w:rPr/>
      </w:pPr>
      <w:r>
        <w:rPr/>
        <w:t>El libro de texto para uso de los alumnos de primer curso es el titulado Cultura Audiovisual I, Editorial Paraninfo (ISBN: 978-84-283-3970-4) Autor: José María Castillo.</w:t>
      </w:r>
    </w:p>
    <w:p>
      <w:pPr>
        <w:pStyle w:val="Cuerpodetexto"/>
        <w:rPr/>
      </w:pPr>
      <w:r>
        <w:rPr/>
        <w:t>El libro de texto podrá ser complementado con fotocopias, incluyendo copias a color, que contengan propuestas de ejercicios o ampliaciones de contenidos y que serán entregadas a los alumnos a medida que sean necesarias.</w:t>
      </w:r>
    </w:p>
    <w:p>
      <w:pPr>
        <w:pStyle w:val="Cuerpodetexto"/>
        <w:rPr/>
      </w:pPr>
      <w:r>
        <w:rPr/>
        <w:t>Cuando sea conveniente para reforzar la exposición de los contenidos se emplearán medios informáticos y audiovisuales en el aula ordinaria. Para ello es preciso que el aula cuente con proyector de vídeo, reproductor de vídeo, cableado y conexión a Internet.</w:t>
      </w:r>
    </w:p>
    <w:p>
      <w:pPr>
        <w:pStyle w:val="Cuerpodetexto"/>
        <w:rPr/>
      </w:pPr>
      <w:r>
        <w:rPr/>
        <w:t>El aula de informática será usada habitualmente para la creación de trabajos prácticos. Se precisa, además de los medios ordinarios, un escáner a color.</w:t>
      </w:r>
    </w:p>
    <w:p>
      <w:pPr>
        <w:pStyle w:val="Cuerpodetexto"/>
        <w:rPr/>
      </w:pPr>
      <w:r>
        <w:rPr/>
        <w:t>Para la toma de audio y de imágenes fijas y en movimiento se pedirá a los grupos de trabajo que aporten al menos un teléfono móvil y un medio de almacenamiento de seguridad.</w:t>
      </w:r>
    </w:p>
    <w:p>
      <w:pPr>
        <w:pStyle w:val="Cuerpodetexto"/>
        <w:rPr/>
      </w:pPr>
      <w:r>
        <w:rPr/>
        <w:t>Las pequeñas creaciones plásticas requerirán el uso de instrumentos de dibujo, lápices de colores y rotuladores que aportará el alumnado.</w:t>
      </w:r>
    </w:p>
    <w:p>
      <w:pPr>
        <w:pStyle w:val="Cuerpodetexto"/>
        <w:rPr/>
      </w:pPr>
      <w:r>
        <w:rPr/>
        <w:t>Se usará una cámara réflex digital con un objetivo de uso general y otro con zoom básico para fotografía de naturaleza y acción para instruir a los alumnos sobre los conceptos básicos de fotografía.</w:t>
      </w:r>
    </w:p>
    <w:p>
      <w:pPr>
        <w:pStyle w:val="Cuerpodetexto"/>
        <w:spacing w:before="0" w:after="156"/>
        <w:ind w:right="0" w:hanging="0"/>
        <w:rPr/>
      </w:pPr>
      <w:r>
        <w:rPr/>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1"/>
    <w:family w:val="roman"/>
    <w:pitch w:val="variable"/>
  </w:font>
  <w:font w:name="Wingdings">
    <w:charset w:val="01"/>
    <w:family w:val="roman"/>
    <w:pitch w:val="variable"/>
  </w:font>
  <w:font w:name="Liberation Sans">
    <w:altName w:val="Arial"/>
    <w:charset w:val="01"/>
    <w:family w:val="roman"/>
    <w:pitch w:val="variable"/>
  </w:font>
  <w:font w:name="FreeSerif">
    <w:charset w:val="01"/>
    <w:family w:val="roman"/>
    <w:pitch w:val="variable"/>
  </w:font>
  <w:font w:name="Verdana">
    <w:charset w:val="01"/>
    <w:family w:val="roman"/>
    <w:pitch w:val="variable"/>
  </w:font>
  <w:font w:name="Arial">
    <w:charset w:val="01"/>
    <w:family w:val="roman"/>
    <w:pitch w:val="variable"/>
  </w:font>
  <w:font w:name="Free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widowControl w:val="false"/>
      <w:spacing w:before="0" w:after="200"/>
      <w:rPr/>
    </w:pPr>
    <w:r>
      <w:rPr>
        <w:rFonts w:ascii="Verdana" w:hAnsi="Verdana"/>
        <w:sz w:val="22"/>
        <w:szCs w:val="22"/>
      </w:rPr>
      <w:t>IES “Cinco Villas”. Tecnología. Programación didáctica. Curso escolar 2021/2022.</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2</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lvl>
    <w:lvl w:ilvl="1">
      <w:start w:val="1"/>
      <w:pStyle w:val="Ttulo2"/>
      <w:numFmt w:val="decimal"/>
      <w:suff w:val="space"/>
      <w:lvlText w:val="%1.%2."/>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36"/>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Normal"/>
    <w:next w:val="Normal"/>
    <w:qFormat/>
    <w:pPr>
      <w:keepNext w:val="true"/>
      <w:widowControl w:val="false"/>
      <w:numPr>
        <w:ilvl w:val="1"/>
        <w:numId w:val="1"/>
      </w:numPr>
      <w:suppressAutoHyphens w:val="true"/>
      <w:spacing w:lineRule="auto" w:line="276" w:before="240" w:after="120"/>
      <w:outlineLvl w:val="1"/>
    </w:pPr>
    <w:rPr>
      <w:rFonts w:ascii="Times New Roman" w:hAnsi="Times New Roman" w:eastAsia="Arial Unicode MS" w:cs="Tahoma"/>
      <w:b/>
      <w:kern w:val="2"/>
      <w:sz w:val="36"/>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OAHeading">
    <w:name w:val="TOA Heading"/>
    <w:basedOn w:val="Ttulo"/>
    <w:qFormat/>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Standard"/>
    <w:qFormat/>
    <w:pPr>
      <w:widowControl w:val="false"/>
      <w:tabs>
        <w:tab w:val="clear" w:pos="708"/>
        <w:tab w:val="center" w:pos="4252" w:leader="none"/>
        <w:tab w:val="right" w:pos="8504"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overflowPunct w:val="false"/>
      <w:bidi w:val="0"/>
      <w:spacing w:before="0" w:after="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overflowPunct w:val="false"/>
      <w:bidi w:val="0"/>
      <w:spacing w:before="0" w:after="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overflowPunct w:val="fals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SimSun;宋体" w:cs="Tahoma"/>
      <w:color w:val="auto"/>
      <w:kern w:val="2"/>
      <w:sz w:val="22"/>
      <w:szCs w:val="22"/>
      <w:lang w:val="es-ES" w:eastAsia="zh-CN" w:bidi="ar-SA"/>
    </w:rPr>
  </w:style>
  <w:style w:type="paragraph" w:styleId="Estilo4">
    <w:name w:val="Estilo4"/>
    <w:basedOn w:val="Ttulo1"/>
    <w:qFormat/>
    <w:pPr>
      <w:widowControl w:val="false"/>
      <w:numPr>
        <w:ilvl w:val="0"/>
        <w:numId w:val="0"/>
      </w:numPr>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Times New Roman"/>
      <w:color w:val="auto"/>
      <w:kern w:val="2"/>
      <w:sz w:val="22"/>
      <w:szCs w:val="22"/>
      <w:lang w:val="es-ES" w:eastAsia="zh-CN" w:bidi="ar-SA"/>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paragraph" w:styleId="Ttulodelsumario">
    <w:name w:val="TOA Heading"/>
    <w:basedOn w:val="Ttulodelndice"/>
    <w:pPr>
      <w:suppressLineNumbers/>
      <w:ind w:left="0" w:hanging="0"/>
    </w:pPr>
    <w:rPr>
      <w:b/>
      <w:bCs/>
      <w:sz w:val="32"/>
      <w:szCs w:val="32"/>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1003</TotalTime>
  <Application>LibreOffice/6.4.7.2$Linux_X86_64 LibreOffice_project/40$Build-2</Application>
  <Pages>11</Pages>
  <Words>5121</Words>
  <Characters>29693</Characters>
  <CharactersWithSpaces>34452</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2021-10-17T12:05:51Z</dcterms:modified>
  <cp:revision>224</cp:revision>
  <dc:subject/>
  <dc:title/>
</cp:coreProperties>
</file>